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2A24" w14:textId="30E98840" w:rsidR="009A71B5" w:rsidRPr="009A71B5" w:rsidRDefault="009A71B5" w:rsidP="009A71B5">
      <w:pPr>
        <w:shd w:val="clear" w:color="auto" w:fill="FFFFFF"/>
        <w:jc w:val="center"/>
        <w:rPr>
          <w:rFonts w:asciiTheme="minorHAnsi" w:hAnsiTheme="minorHAnsi"/>
          <w:sz w:val="28"/>
          <w:szCs w:val="28"/>
        </w:rPr>
      </w:pPr>
      <w:r w:rsidRPr="009A71B5">
        <w:rPr>
          <w:rFonts w:asciiTheme="minorHAnsi" w:hAnsiTheme="minorHAnsi"/>
          <w:b/>
          <w:bCs/>
          <w:sz w:val="28"/>
          <w:szCs w:val="28"/>
        </w:rPr>
        <w:t>Bloom Early Learning Anti-Racism, Anti-Bias Statement</w:t>
      </w:r>
    </w:p>
    <w:p w14:paraId="0A1CCD41" w14:textId="77777777" w:rsidR="009A71B5" w:rsidRPr="009A71B5" w:rsidRDefault="009A71B5" w:rsidP="009A71B5">
      <w:pPr>
        <w:shd w:val="clear" w:color="auto" w:fill="FFFFFF"/>
        <w:jc w:val="center"/>
        <w:rPr>
          <w:rFonts w:asciiTheme="minorHAnsi" w:hAnsiTheme="minorHAnsi"/>
          <w:sz w:val="28"/>
          <w:szCs w:val="28"/>
        </w:rPr>
      </w:pPr>
    </w:p>
    <w:p w14:paraId="00000001" w14:textId="4D52A802" w:rsidR="007F601D" w:rsidRPr="009A71B5" w:rsidRDefault="00D5575E">
      <w:pPr>
        <w:shd w:val="clear" w:color="auto" w:fill="FFFFFF"/>
        <w:rPr>
          <w:rFonts w:asciiTheme="minorHAnsi" w:hAnsiTheme="minorHAnsi"/>
          <w:sz w:val="28"/>
          <w:szCs w:val="28"/>
        </w:rPr>
      </w:pPr>
      <w:r w:rsidRPr="009A71B5">
        <w:rPr>
          <w:rFonts w:asciiTheme="minorHAnsi" w:hAnsiTheme="minorHAnsi"/>
          <w:sz w:val="28"/>
          <w:szCs w:val="28"/>
        </w:rPr>
        <w:t>The dual crises of the pandemic and the death of George Floyd have laid bare the injustices and inequities in our society. At this historic time, Bloom Early Learning recommits to its core mission.</w:t>
      </w:r>
    </w:p>
    <w:p w14:paraId="32378C1E" w14:textId="180723CE" w:rsidR="009A71B5" w:rsidRPr="009A71B5" w:rsidRDefault="009A71B5">
      <w:pPr>
        <w:shd w:val="clear" w:color="auto" w:fill="FFFFFF"/>
        <w:rPr>
          <w:rFonts w:asciiTheme="minorHAnsi" w:hAnsiTheme="minorHAnsi"/>
          <w:sz w:val="28"/>
          <w:szCs w:val="28"/>
        </w:rPr>
      </w:pPr>
    </w:p>
    <w:p w14:paraId="64F5658F" w14:textId="0ADEA49A" w:rsidR="009A71B5" w:rsidRPr="009A71B5" w:rsidRDefault="009A71B5">
      <w:pPr>
        <w:shd w:val="clear" w:color="auto" w:fill="FFFFFF"/>
        <w:rPr>
          <w:rFonts w:asciiTheme="minorHAnsi" w:hAnsiTheme="minorHAnsi"/>
          <w:i/>
          <w:iCs/>
          <w:sz w:val="28"/>
          <w:szCs w:val="28"/>
        </w:rPr>
      </w:pPr>
      <w:r w:rsidRPr="009A71B5">
        <w:rPr>
          <w:rFonts w:asciiTheme="minorHAnsi" w:hAnsiTheme="minorHAnsi"/>
          <w:i/>
          <w:iCs/>
          <w:sz w:val="28"/>
          <w:szCs w:val="28"/>
        </w:rPr>
        <w:t>Bloom passionately strives to break the cycle of poverty at the start through nurturing care and an exceptional early learning program. We prepare you</w:t>
      </w:r>
      <w:r w:rsidR="00051BF5">
        <w:rPr>
          <w:rFonts w:asciiTheme="minorHAnsi" w:hAnsiTheme="minorHAnsi"/>
          <w:i/>
          <w:iCs/>
          <w:sz w:val="28"/>
          <w:szCs w:val="28"/>
        </w:rPr>
        <w:t>ng</w:t>
      </w:r>
      <w:bookmarkStart w:id="0" w:name="_GoBack"/>
      <w:bookmarkEnd w:id="0"/>
      <w:r w:rsidRPr="009A71B5">
        <w:rPr>
          <w:rFonts w:asciiTheme="minorHAnsi" w:hAnsiTheme="minorHAnsi"/>
          <w:i/>
          <w:iCs/>
          <w:sz w:val="28"/>
          <w:szCs w:val="28"/>
        </w:rPr>
        <w:t xml:space="preserve"> people for success in school and enable their parents to pursue educational and employment opportunities.</w:t>
      </w:r>
    </w:p>
    <w:p w14:paraId="00000002" w14:textId="77777777" w:rsidR="007F601D" w:rsidRPr="009A71B5" w:rsidRDefault="00D5575E">
      <w:pPr>
        <w:shd w:val="clear" w:color="auto" w:fill="FFFFFF"/>
        <w:rPr>
          <w:rFonts w:asciiTheme="minorHAnsi" w:hAnsiTheme="minorHAnsi"/>
          <w:color w:val="222222"/>
          <w:sz w:val="28"/>
          <w:szCs w:val="28"/>
        </w:rPr>
      </w:pPr>
      <w:r w:rsidRPr="009A71B5">
        <w:rPr>
          <w:rFonts w:asciiTheme="minorHAnsi" w:hAnsiTheme="minorHAnsi"/>
          <w:color w:val="222222"/>
          <w:sz w:val="28"/>
          <w:szCs w:val="28"/>
        </w:rPr>
        <w:t xml:space="preserve"> </w:t>
      </w:r>
    </w:p>
    <w:p w14:paraId="00000005" w14:textId="4FEC2329" w:rsidR="007F601D" w:rsidRPr="009A71B5" w:rsidRDefault="00D5575E">
      <w:pPr>
        <w:shd w:val="clear" w:color="auto" w:fill="FFFFFF"/>
        <w:rPr>
          <w:rFonts w:asciiTheme="minorHAnsi" w:hAnsiTheme="minorHAnsi"/>
          <w:color w:val="222222"/>
          <w:sz w:val="28"/>
          <w:szCs w:val="28"/>
        </w:rPr>
      </w:pPr>
      <w:r w:rsidRPr="009A71B5">
        <w:rPr>
          <w:rFonts w:asciiTheme="minorHAnsi" w:hAnsiTheme="minorHAnsi"/>
          <w:color w:val="222222"/>
          <w:sz w:val="28"/>
          <w:szCs w:val="28"/>
        </w:rPr>
        <w:t>Structural inequities limit the access of all children to high quality educational experiences. Historically, low</w:t>
      </w:r>
      <w:r w:rsidR="009A71B5">
        <w:rPr>
          <w:rFonts w:asciiTheme="minorHAnsi" w:hAnsiTheme="minorHAnsi"/>
          <w:color w:val="222222"/>
          <w:sz w:val="28"/>
          <w:szCs w:val="28"/>
        </w:rPr>
        <w:t>-</w:t>
      </w:r>
      <w:r w:rsidRPr="009A71B5">
        <w:rPr>
          <w:rFonts w:asciiTheme="minorHAnsi" w:hAnsiTheme="minorHAnsi"/>
          <w:color w:val="222222"/>
          <w:sz w:val="28"/>
          <w:szCs w:val="28"/>
        </w:rPr>
        <w:t xml:space="preserve">income and families of color have struggled to access high quality early learning. The science of development tells us that high quality early educational experiences have positive impacts across the lifespan. </w:t>
      </w:r>
      <w:r w:rsidRPr="009A71B5">
        <w:rPr>
          <w:rFonts w:asciiTheme="minorHAnsi" w:hAnsiTheme="minorHAnsi"/>
          <w:b/>
          <w:i/>
          <w:color w:val="222222"/>
          <w:sz w:val="28"/>
          <w:szCs w:val="28"/>
        </w:rPr>
        <w:t>Access to early education is a matter of equity</w:t>
      </w:r>
      <w:r w:rsidRPr="009A71B5">
        <w:rPr>
          <w:rFonts w:asciiTheme="minorHAnsi" w:hAnsiTheme="minorHAnsi"/>
          <w:color w:val="222222"/>
          <w:sz w:val="28"/>
          <w:szCs w:val="28"/>
        </w:rPr>
        <w:t>.  We are committed to providing early care built on strong relationships that embrace and honor the diversity of all families and staff. Bloom scholarships are central to this effort.</w:t>
      </w:r>
    </w:p>
    <w:p w14:paraId="00000006" w14:textId="77777777" w:rsidR="007F601D" w:rsidRPr="009A71B5" w:rsidRDefault="00D5575E">
      <w:pPr>
        <w:shd w:val="clear" w:color="auto" w:fill="FFFFFF"/>
        <w:rPr>
          <w:rFonts w:asciiTheme="minorHAnsi" w:hAnsiTheme="minorHAnsi"/>
          <w:color w:val="222222"/>
          <w:sz w:val="28"/>
          <w:szCs w:val="28"/>
        </w:rPr>
      </w:pPr>
      <w:r w:rsidRPr="009A71B5">
        <w:rPr>
          <w:rFonts w:asciiTheme="minorHAnsi" w:hAnsiTheme="minorHAnsi"/>
          <w:color w:val="222222"/>
          <w:sz w:val="28"/>
          <w:szCs w:val="28"/>
        </w:rPr>
        <w:t xml:space="preserve"> </w:t>
      </w:r>
    </w:p>
    <w:p w14:paraId="00000007" w14:textId="310DB3F0" w:rsidR="007F601D" w:rsidRPr="009A71B5" w:rsidRDefault="00D5575E">
      <w:pPr>
        <w:shd w:val="clear" w:color="auto" w:fill="FFFFFF"/>
        <w:rPr>
          <w:rFonts w:asciiTheme="minorHAnsi" w:hAnsiTheme="minorHAnsi"/>
          <w:i/>
          <w:color w:val="222222"/>
          <w:sz w:val="28"/>
          <w:szCs w:val="28"/>
        </w:rPr>
      </w:pPr>
      <w:r w:rsidRPr="009A71B5">
        <w:rPr>
          <w:rFonts w:asciiTheme="minorHAnsi" w:hAnsiTheme="minorHAnsi"/>
          <w:color w:val="222222"/>
          <w:sz w:val="28"/>
          <w:szCs w:val="28"/>
        </w:rPr>
        <w:t xml:space="preserve">As an organization, we commit to following the recommendations made in the National Association for the Education of Young Children position statement, </w:t>
      </w:r>
      <w:r w:rsidRPr="009A71B5">
        <w:rPr>
          <w:rFonts w:asciiTheme="minorHAnsi" w:hAnsiTheme="minorHAnsi"/>
          <w:i/>
          <w:color w:val="222222"/>
          <w:sz w:val="28"/>
          <w:szCs w:val="28"/>
        </w:rPr>
        <w:t>Advancing Equity in Early Childhood Education.</w:t>
      </w:r>
    </w:p>
    <w:p w14:paraId="00000008" w14:textId="00526F64" w:rsidR="007F601D" w:rsidRPr="00384712" w:rsidRDefault="00384712">
      <w:pPr>
        <w:shd w:val="clear" w:color="auto" w:fill="FFFFFF"/>
        <w:rPr>
          <w:rStyle w:val="Hyperlink"/>
          <w:rFonts w:asciiTheme="minorHAnsi" w:eastAsia="Times New Roman" w:hAnsiTheme="minorHAnsi" w:cs="Times New Roman"/>
          <w:sz w:val="28"/>
          <w:szCs w:val="28"/>
        </w:rPr>
      </w:pPr>
      <w:r>
        <w:rPr>
          <w:rFonts w:asciiTheme="minorHAnsi" w:eastAsia="Times New Roman" w:hAnsiTheme="minorHAnsi" w:cs="Times New Roman"/>
          <w:color w:val="1155CC"/>
          <w:sz w:val="28"/>
          <w:szCs w:val="28"/>
          <w:u w:val="single"/>
        </w:rPr>
        <w:fldChar w:fldCharType="begin"/>
      </w:r>
      <w:r>
        <w:rPr>
          <w:rFonts w:asciiTheme="minorHAnsi" w:eastAsia="Times New Roman" w:hAnsiTheme="minorHAnsi" w:cs="Times New Roman"/>
          <w:color w:val="1155CC"/>
          <w:sz w:val="28"/>
          <w:szCs w:val="28"/>
          <w:u w:val="single"/>
        </w:rPr>
        <w:instrText>HYPERLINK "https://www.naeyc.org/resources/position-statements/equity"</w:instrText>
      </w:r>
      <w:r>
        <w:rPr>
          <w:rFonts w:asciiTheme="minorHAnsi" w:eastAsia="Times New Roman" w:hAnsiTheme="minorHAnsi" w:cs="Times New Roman"/>
          <w:color w:val="1155CC"/>
          <w:sz w:val="28"/>
          <w:szCs w:val="28"/>
          <w:u w:val="single"/>
        </w:rPr>
        <w:fldChar w:fldCharType="separate"/>
      </w:r>
      <w:r w:rsidR="00D5575E" w:rsidRPr="00384712">
        <w:rPr>
          <w:rStyle w:val="Hyperlink"/>
          <w:rFonts w:asciiTheme="minorHAnsi" w:eastAsia="Times New Roman" w:hAnsiTheme="minorHAnsi" w:cs="Times New Roman"/>
          <w:sz w:val="28"/>
          <w:szCs w:val="28"/>
        </w:rPr>
        <w:t>https://www.naeyc.org/resources/position-statements/equity</w:t>
      </w:r>
    </w:p>
    <w:p w14:paraId="00000009" w14:textId="6218D962" w:rsidR="007F601D" w:rsidRPr="009A71B5" w:rsidRDefault="00384712">
      <w:pPr>
        <w:shd w:val="clear" w:color="auto" w:fill="FFFFFF"/>
        <w:rPr>
          <w:rFonts w:asciiTheme="minorHAnsi" w:hAnsiTheme="minorHAnsi"/>
          <w:color w:val="222222"/>
          <w:sz w:val="28"/>
          <w:szCs w:val="28"/>
        </w:rPr>
      </w:pPr>
      <w:r>
        <w:rPr>
          <w:rFonts w:asciiTheme="minorHAnsi" w:eastAsia="Times New Roman" w:hAnsiTheme="minorHAnsi" w:cs="Times New Roman"/>
          <w:color w:val="1155CC"/>
          <w:sz w:val="28"/>
          <w:szCs w:val="28"/>
          <w:u w:val="single"/>
        </w:rPr>
        <w:fldChar w:fldCharType="end"/>
      </w:r>
      <w:r w:rsidR="00D5575E" w:rsidRPr="009A71B5">
        <w:rPr>
          <w:rFonts w:asciiTheme="minorHAnsi" w:hAnsiTheme="minorHAnsi"/>
          <w:color w:val="222222"/>
          <w:sz w:val="28"/>
          <w:szCs w:val="28"/>
        </w:rPr>
        <w:t xml:space="preserve"> </w:t>
      </w:r>
    </w:p>
    <w:p w14:paraId="0D93EAA5" w14:textId="77777777" w:rsidR="00D5575E" w:rsidRDefault="00D5575E">
      <w:pPr>
        <w:shd w:val="clear" w:color="auto" w:fill="FFFFFF"/>
        <w:rPr>
          <w:rFonts w:asciiTheme="minorHAnsi" w:hAnsiTheme="minorHAnsi"/>
          <w:color w:val="222222"/>
          <w:sz w:val="28"/>
          <w:szCs w:val="28"/>
        </w:rPr>
      </w:pPr>
      <w:r w:rsidRPr="009A71B5">
        <w:rPr>
          <w:rFonts w:asciiTheme="minorHAnsi" w:hAnsiTheme="minorHAnsi"/>
          <w:color w:val="222222"/>
          <w:sz w:val="28"/>
          <w:szCs w:val="28"/>
        </w:rPr>
        <w:t xml:space="preserve">We continue to critically examine our curriculum and practices and address anti-bias goals. </w:t>
      </w:r>
    </w:p>
    <w:p w14:paraId="0000000A" w14:textId="552F2B10" w:rsidR="007F601D" w:rsidRPr="009A71B5" w:rsidRDefault="00D5575E">
      <w:pPr>
        <w:shd w:val="clear" w:color="auto" w:fill="FFFFFF"/>
        <w:rPr>
          <w:rFonts w:asciiTheme="minorHAnsi" w:eastAsia="Times New Roman" w:hAnsiTheme="minorHAnsi" w:cs="Times New Roman"/>
          <w:color w:val="1155CC"/>
          <w:sz w:val="28"/>
          <w:szCs w:val="28"/>
          <w:u w:val="single"/>
        </w:rPr>
      </w:pPr>
      <w:hyperlink r:id="rId4" w:history="1">
        <w:r w:rsidRPr="00526541">
          <w:rPr>
            <w:rStyle w:val="Hyperlink"/>
            <w:rFonts w:asciiTheme="minorHAnsi" w:eastAsia="Times New Roman" w:hAnsiTheme="minorHAnsi" w:cs="Times New Roman"/>
            <w:sz w:val="28"/>
            <w:szCs w:val="28"/>
          </w:rPr>
          <w:t>https://www.naeyc.org/resources/pubs/yc/nov2019/understanding-anti-bias</w:t>
        </w:r>
      </w:hyperlink>
    </w:p>
    <w:p w14:paraId="0000000B" w14:textId="77777777" w:rsidR="007F601D" w:rsidRPr="009A71B5" w:rsidRDefault="00D5575E">
      <w:pPr>
        <w:shd w:val="clear" w:color="auto" w:fill="FFFFFF"/>
        <w:rPr>
          <w:rFonts w:asciiTheme="minorHAnsi" w:eastAsia="Times New Roman" w:hAnsiTheme="minorHAnsi" w:cs="Times New Roman"/>
          <w:color w:val="222222"/>
          <w:sz w:val="28"/>
          <w:szCs w:val="28"/>
        </w:rPr>
      </w:pPr>
      <w:r w:rsidRPr="009A71B5">
        <w:rPr>
          <w:rFonts w:asciiTheme="minorHAnsi" w:eastAsia="Times New Roman" w:hAnsiTheme="minorHAnsi" w:cs="Times New Roman"/>
          <w:color w:val="222222"/>
          <w:sz w:val="28"/>
          <w:szCs w:val="28"/>
        </w:rPr>
        <w:t xml:space="preserve"> </w:t>
      </w:r>
    </w:p>
    <w:p w14:paraId="0000000C" w14:textId="77777777" w:rsidR="007F601D" w:rsidRPr="009A71B5" w:rsidRDefault="00D5575E">
      <w:pPr>
        <w:shd w:val="clear" w:color="auto" w:fill="FFFFFF"/>
        <w:rPr>
          <w:rFonts w:asciiTheme="minorHAnsi" w:hAnsiTheme="minorHAnsi"/>
          <w:color w:val="222222"/>
          <w:sz w:val="28"/>
          <w:szCs w:val="28"/>
        </w:rPr>
      </w:pPr>
      <w:r w:rsidRPr="009A71B5">
        <w:rPr>
          <w:rFonts w:asciiTheme="minorHAnsi" w:hAnsiTheme="minorHAnsi"/>
          <w:color w:val="222222"/>
          <w:sz w:val="28"/>
          <w:szCs w:val="28"/>
        </w:rPr>
        <w:t>We commit to active and ongoing anti-racism and anti-bias work to support families of color in our community.</w:t>
      </w:r>
    </w:p>
    <w:p w14:paraId="0000000D" w14:textId="77777777" w:rsidR="007F601D" w:rsidRPr="009A71B5" w:rsidRDefault="007F601D">
      <w:pPr>
        <w:rPr>
          <w:rFonts w:asciiTheme="minorHAnsi" w:hAnsiTheme="minorHAnsi"/>
          <w:sz w:val="24"/>
          <w:szCs w:val="24"/>
        </w:rPr>
      </w:pPr>
    </w:p>
    <w:sectPr w:rsidR="007F601D" w:rsidRPr="009A71B5" w:rsidSect="00D5575E">
      <w:pgSz w:w="12240" w:h="15840"/>
      <w:pgMar w:top="1440" w:right="720" w:bottom="144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01D"/>
    <w:rsid w:val="00051BF5"/>
    <w:rsid w:val="00384712"/>
    <w:rsid w:val="007F601D"/>
    <w:rsid w:val="009A71B5"/>
    <w:rsid w:val="00D5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9083"/>
  <w15:docId w15:val="{FB3D6C38-496A-4F61-8D3B-463145B4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84712"/>
    <w:rPr>
      <w:color w:val="0000FF" w:themeColor="hyperlink"/>
      <w:u w:val="single"/>
    </w:rPr>
  </w:style>
  <w:style w:type="character" w:styleId="UnresolvedMention">
    <w:name w:val="Unresolved Mention"/>
    <w:basedOn w:val="DefaultParagraphFont"/>
    <w:uiPriority w:val="99"/>
    <w:semiHidden/>
    <w:unhideWhenUsed/>
    <w:rsid w:val="00384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eyc.org/resources/pubs/yc/nov2019/understanding-anti-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Bloom Staff</cp:lastModifiedBy>
  <cp:revision>5</cp:revision>
  <dcterms:created xsi:type="dcterms:W3CDTF">2020-07-22T14:49:00Z</dcterms:created>
  <dcterms:modified xsi:type="dcterms:W3CDTF">2020-07-22T16:03:00Z</dcterms:modified>
</cp:coreProperties>
</file>